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F8" w:rsidRDefault="007233A1" w:rsidP="007233A1">
      <w:pPr>
        <w:spacing w:after="0" w:line="240" w:lineRule="auto"/>
        <w:rPr>
          <w:rFonts w:ascii="Times New Roman" w:hAnsi="Times New Roman" w:cs="Times New Roman"/>
          <w:b/>
          <w:sz w:val="28"/>
          <w:szCs w:val="28"/>
        </w:rPr>
      </w:pPr>
      <w:r>
        <w:rPr>
          <w:rFonts w:ascii="Times New Roman" w:hAnsi="Times New Roman" w:cs="Times New Roman"/>
          <w:b/>
          <w:sz w:val="28"/>
          <w:szCs w:val="28"/>
        </w:rPr>
        <w:t>Перечень индикаторов риска нарушений обязательных требований, порядок отнесения объектов контроля к категориям риска</w:t>
      </w:r>
    </w:p>
    <w:p w:rsidR="007233A1" w:rsidRDefault="007233A1" w:rsidP="007233A1">
      <w:pPr>
        <w:spacing w:after="0" w:line="240" w:lineRule="auto"/>
        <w:rPr>
          <w:rFonts w:ascii="Times New Roman" w:hAnsi="Times New Roman" w:cs="Times New Roman"/>
          <w:b/>
          <w:sz w:val="28"/>
          <w:szCs w:val="28"/>
        </w:rPr>
      </w:pPr>
    </w:p>
    <w:p w:rsidR="007233A1" w:rsidRPr="00D52CDB" w:rsidRDefault="007233A1" w:rsidP="007233A1">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Перечень индикаторов риска</w:t>
      </w:r>
      <w:r>
        <w:rPr>
          <w:rFonts w:ascii="Arial" w:eastAsia="Times New Roman" w:hAnsi="Arial" w:cs="Arial"/>
          <w:color w:val="000000"/>
          <w:sz w:val="24"/>
          <w:szCs w:val="24"/>
          <w:lang w:eastAsia="ru-RU"/>
        </w:rPr>
        <w:t xml:space="preserve"> </w:t>
      </w:r>
      <w:r w:rsidRPr="00D52CDB">
        <w:rPr>
          <w:rFonts w:ascii="Arial" w:eastAsia="Times New Roman" w:hAnsi="Arial" w:cs="Arial"/>
          <w:color w:val="000000"/>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p>
    <w:p w:rsidR="007233A1" w:rsidRPr="00D52CDB" w:rsidRDefault="007233A1" w:rsidP="007233A1">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7233A1" w:rsidRPr="00D52CDB" w:rsidRDefault="007233A1" w:rsidP="007233A1">
      <w:pPr>
        <w:numPr>
          <w:ilvl w:val="0"/>
          <w:numId w:val="1"/>
        </w:numPr>
        <w:tabs>
          <w:tab w:val="clear" w:pos="720"/>
          <w:tab w:val="num" w:pos="0"/>
        </w:tabs>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Невыполнение в установленный срок законного предписания должностного лица администрации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об устранении нарушений обязательных требований в сфере благоустройства в муниципальном образовании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Неуплата административного штрафа по постановлению, вынесенному должностным лицом администрации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в срок, предусмотренный Кодексом Российской Федерации об административных правонарушениях.</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Непредставление</w:t>
      </w:r>
      <w:r w:rsidRPr="00D52CDB">
        <w:rPr>
          <w:rFonts w:ascii="Arial" w:eastAsia="Times New Roman" w:hAnsi="Arial" w:cs="Arial"/>
          <w:color w:val="000000"/>
          <w:sz w:val="24"/>
          <w:szCs w:val="24"/>
          <w:lang w:eastAsia="ru-RU"/>
        </w:rPr>
        <w:t xml:space="preserve"> 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предостережении о недопустимости нарушения обязательных требований.</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D52CDB">
        <w:rPr>
          <w:rFonts w:ascii="Arial" w:eastAsia="Times New Roman" w:hAnsi="Arial" w:cs="Arial"/>
          <w:color w:val="000000"/>
          <w:sz w:val="24"/>
          <w:szCs w:val="24"/>
          <w:lang w:eastAsia="ru-RU"/>
        </w:rPr>
        <w:t>аличие в течении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Наличие в течение одного года 2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 в муниципальном образовании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вынесенных в отношении контролируемого лица.</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Получение информации о размещении объектов благоустройства (элементов объектов благоустройства) контролируемого лица на первой линии и расстоянии до 100 метров от объектов дорожного хозяйства 1, 2 категории, </w:t>
      </w:r>
      <w:proofErr w:type="spellStart"/>
      <w:r w:rsidRPr="00D52CDB">
        <w:rPr>
          <w:rFonts w:ascii="Arial" w:eastAsia="Times New Roman" w:hAnsi="Arial" w:cs="Arial"/>
          <w:color w:val="000000"/>
          <w:sz w:val="24"/>
          <w:szCs w:val="24"/>
          <w:lang w:eastAsia="ru-RU"/>
        </w:rPr>
        <w:t>внекатегорийных</w:t>
      </w:r>
      <w:proofErr w:type="spellEnd"/>
      <w:r w:rsidRPr="00D52CDB">
        <w:rPr>
          <w:rFonts w:ascii="Arial" w:eastAsia="Times New Roman" w:hAnsi="Arial" w:cs="Arial"/>
          <w:color w:val="000000"/>
          <w:sz w:val="24"/>
          <w:szCs w:val="24"/>
          <w:lang w:eastAsia="ru-RU"/>
        </w:rPr>
        <w:t xml:space="preserve"> объектов и транспортно-пересадочных узлов.</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D52CDB">
        <w:rPr>
          <w:rFonts w:ascii="Arial" w:eastAsia="Times New Roman" w:hAnsi="Arial" w:cs="Arial"/>
          <w:color w:val="000000"/>
          <w:sz w:val="24"/>
          <w:szCs w:val="24"/>
          <w:lang w:eastAsia="ru-RU"/>
        </w:rPr>
        <w:t>олучение информации о наличии объектов благоустройства (элементов объектов благоустройства) контролируемого лица в радиусе одного километра от мест проведения разрешенных массовых мероприятий, праздничных спортивных, общественных и политических, выборных, концертов и митингов, проводимых под открытым небом, народных гуляний и других мероприятий, при которых наблюдается скопления людей.</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Получение информации об открытии на объекте благоустройства (в непосредственной близости от границ объекта благоустройства) контролируемого лица ордера (разрешения) на проведение земляных работ, установку временных ограждений и размещения временных объектов, уведомления о проведении работ без ордера, уведомления о производстве аварийных восстановительных работ.</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D52CDB">
        <w:rPr>
          <w:rFonts w:ascii="Arial" w:eastAsia="Times New Roman" w:hAnsi="Arial" w:cs="Arial"/>
          <w:color w:val="000000"/>
          <w:sz w:val="24"/>
          <w:szCs w:val="24"/>
          <w:lang w:eastAsia="ru-RU"/>
        </w:rPr>
        <w:t xml:space="preserve">аличие информации в зимний период о нахождении у контролируемого лица на объекте благоустройства, скатной металлической кровли, </w:t>
      </w:r>
      <w:r w:rsidRPr="00D52CDB">
        <w:rPr>
          <w:rFonts w:ascii="Arial" w:eastAsia="Times New Roman" w:hAnsi="Arial" w:cs="Arial"/>
          <w:color w:val="000000"/>
          <w:sz w:val="24"/>
          <w:szCs w:val="24"/>
          <w:lang w:eastAsia="ru-RU"/>
        </w:rPr>
        <w:lastRenderedPageBreak/>
        <w:t>выступающих элементов фасада, (кондиционеров, козырьков входных групп), при выпадении снежного покрова более 5 сантиметров в течение суток.</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Наличие информации о нахождении у контролируемого лица на объекте (элементе объекта) благоустройства признаков подтопления территорий.</w:t>
      </w:r>
    </w:p>
    <w:p w:rsidR="007233A1" w:rsidRPr="00D52CDB" w:rsidRDefault="007233A1" w:rsidP="007233A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Получение информации о </w:t>
      </w:r>
      <w:proofErr w:type="gramStart"/>
      <w:r w:rsidRPr="00D52CDB">
        <w:rPr>
          <w:rFonts w:ascii="Arial" w:eastAsia="Times New Roman" w:hAnsi="Arial" w:cs="Arial"/>
          <w:color w:val="000000"/>
          <w:sz w:val="24"/>
          <w:szCs w:val="24"/>
          <w:lang w:eastAsia="ru-RU"/>
        </w:rPr>
        <w:t xml:space="preserve">не проведении </w:t>
      </w:r>
      <w:proofErr w:type="gramEnd"/>
      <w:r w:rsidRPr="00D52CDB">
        <w:rPr>
          <w:rFonts w:ascii="Arial" w:eastAsia="Times New Roman" w:hAnsi="Arial" w:cs="Arial"/>
          <w:color w:val="000000"/>
          <w:sz w:val="24"/>
          <w:szCs w:val="24"/>
          <w:lang w:eastAsia="ru-RU"/>
        </w:rPr>
        <w:t>работ по благоустройству, ремонту на объектах (элементах объекта) благоустройства контролируемого лица более 10 лет.</w:t>
      </w:r>
    </w:p>
    <w:p w:rsidR="007233A1" w:rsidRDefault="007233A1" w:rsidP="007233A1">
      <w:pPr>
        <w:spacing w:after="0" w:line="240" w:lineRule="auto"/>
        <w:ind w:firstLine="709"/>
        <w:rPr>
          <w:rFonts w:ascii="Times New Roman" w:hAnsi="Times New Roman" w:cs="Times New Roman"/>
          <w:sz w:val="28"/>
          <w:szCs w:val="28"/>
        </w:rPr>
      </w:pPr>
    </w:p>
    <w:p w:rsidR="007233A1" w:rsidRPr="00D52CDB" w:rsidRDefault="007233A1" w:rsidP="007233A1">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Критерии отнесения объектов контроля к категориям риска в рамках осуществления муниципального контроля в сфере благоустройства</w:t>
      </w:r>
    </w:p>
    <w:p w:rsidR="007233A1" w:rsidRPr="00D52CDB" w:rsidRDefault="007233A1" w:rsidP="007233A1">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tbl>
      <w:tblPr>
        <w:tblW w:w="9486" w:type="dxa"/>
        <w:tblCellMar>
          <w:left w:w="0" w:type="dxa"/>
          <w:right w:w="0" w:type="dxa"/>
        </w:tblCellMar>
        <w:tblLook w:val="04A0" w:firstRow="1" w:lastRow="0" w:firstColumn="1" w:lastColumn="0" w:noHBand="0" w:noVBand="1"/>
      </w:tblPr>
      <w:tblGrid>
        <w:gridCol w:w="1221"/>
        <w:gridCol w:w="5820"/>
        <w:gridCol w:w="2445"/>
      </w:tblGrid>
      <w:tr w:rsidR="007233A1" w:rsidRPr="00D52CDB" w:rsidTr="00FC31C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 </w:t>
            </w:r>
            <w:proofErr w:type="gramStart"/>
            <w:r w:rsidRPr="00D52CDB">
              <w:rPr>
                <w:rFonts w:ascii="Arial" w:eastAsia="Times New Roman" w:hAnsi="Arial" w:cs="Arial"/>
                <w:sz w:val="24"/>
                <w:szCs w:val="24"/>
                <w:lang w:eastAsia="ru-RU"/>
              </w:rPr>
              <w:t>п</w:t>
            </w:r>
            <w:proofErr w:type="gramEnd"/>
            <w:r w:rsidRPr="00D52CDB">
              <w:rPr>
                <w:rFonts w:ascii="Arial" w:eastAsia="Times New Roman" w:hAnsi="Arial" w:cs="Arial"/>
                <w:sz w:val="24"/>
                <w:szCs w:val="24"/>
                <w:lang w:eastAsia="ru-RU"/>
              </w:rPr>
              <w:t>/п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Объекты муниципального контроля в сфере благоустройства в муниципальном образовании «</w:t>
            </w:r>
            <w:proofErr w:type="spellStart"/>
            <w:r w:rsidRPr="00D52CDB">
              <w:rPr>
                <w:rFonts w:ascii="Arial" w:eastAsia="Times New Roman" w:hAnsi="Arial" w:cs="Arial"/>
                <w:sz w:val="24"/>
                <w:szCs w:val="24"/>
                <w:lang w:eastAsia="ru-RU"/>
              </w:rPr>
              <w:t>Птичнинское</w:t>
            </w:r>
            <w:proofErr w:type="spellEnd"/>
            <w:r w:rsidRPr="00D52CDB">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Категория риска</w:t>
            </w:r>
          </w:p>
        </w:tc>
      </w:tr>
      <w:tr w:rsidR="007233A1" w:rsidRPr="00D52CDB" w:rsidTr="00FC31C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муниципального образования «</w:t>
            </w:r>
            <w:proofErr w:type="spellStart"/>
            <w:r w:rsidRPr="00D52CDB">
              <w:rPr>
                <w:rFonts w:ascii="Arial" w:eastAsia="Times New Roman" w:hAnsi="Arial" w:cs="Arial"/>
                <w:sz w:val="24"/>
                <w:szCs w:val="24"/>
                <w:lang w:eastAsia="ru-RU"/>
              </w:rPr>
              <w:t>Птичнинское</w:t>
            </w:r>
            <w:proofErr w:type="spellEnd"/>
            <w:r w:rsidRPr="00D52CDB">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sz w:val="24"/>
                <w:szCs w:val="24"/>
                <w:lang w:eastAsia="ru-RU"/>
              </w:rPr>
              <w:t>, </w:t>
            </w:r>
            <w:r w:rsidRPr="00D52CDB">
              <w:rPr>
                <w:rFonts w:ascii="Arial" w:eastAsia="Times New Roman" w:hAnsi="Arial" w:cs="Arial"/>
                <w:sz w:val="24"/>
                <w:szCs w:val="24"/>
                <w:lang w:eastAsia="ru-RU"/>
              </w:rPr>
              <w:t>утвержденного решением</w:t>
            </w:r>
            <w:r w:rsidRPr="00D52CDB">
              <w:rPr>
                <w:rFonts w:ascii="Arial" w:eastAsia="Times New Roman" w:hAnsi="Arial" w:cs="Arial"/>
                <w:i/>
                <w:iCs/>
                <w:sz w:val="24"/>
                <w:szCs w:val="24"/>
                <w:lang w:eastAsia="ru-RU"/>
              </w:rPr>
              <w:t> </w:t>
            </w:r>
            <w:bookmarkStart w:id="0" w:name="_Hlk73953373"/>
            <w:r w:rsidRPr="00D52CDB">
              <w:rPr>
                <w:rFonts w:ascii="Arial" w:eastAsia="Times New Roman" w:hAnsi="Arial" w:cs="Arial"/>
                <w:sz w:val="24"/>
                <w:szCs w:val="24"/>
                <w:lang w:eastAsia="ru-RU"/>
              </w:rPr>
              <w:t>собрания депутатов</w:t>
            </w:r>
            <w:r w:rsidRPr="00D52CDB">
              <w:rPr>
                <w:rFonts w:ascii="Arial" w:eastAsia="Times New Roman" w:hAnsi="Arial" w:cs="Arial"/>
                <w:i/>
                <w:iCs/>
                <w:sz w:val="24"/>
                <w:szCs w:val="24"/>
                <w:lang w:eastAsia="ru-RU"/>
              </w:rPr>
              <w:t> </w:t>
            </w:r>
            <w:r w:rsidRPr="00D52CDB">
              <w:rPr>
                <w:rFonts w:ascii="Arial" w:eastAsia="Times New Roman" w:hAnsi="Arial" w:cs="Arial"/>
                <w:sz w:val="24"/>
                <w:szCs w:val="24"/>
                <w:lang w:eastAsia="ru-RU"/>
              </w:rPr>
              <w:t>муниципального образования «</w:t>
            </w:r>
            <w:proofErr w:type="spellStart"/>
            <w:r w:rsidRPr="00D52CDB">
              <w:rPr>
                <w:rFonts w:ascii="Arial" w:eastAsia="Times New Roman" w:hAnsi="Arial" w:cs="Arial"/>
                <w:sz w:val="24"/>
                <w:szCs w:val="24"/>
                <w:lang w:eastAsia="ru-RU"/>
              </w:rPr>
              <w:t>Птичнинское</w:t>
            </w:r>
            <w:proofErr w:type="spellEnd"/>
            <w:r w:rsidRPr="00D52CDB">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 от 06.12.2020 №56.</w:t>
            </w:r>
            <w:bookmarkEnd w:id="0"/>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Значительный риск</w:t>
            </w:r>
          </w:p>
        </w:tc>
      </w:tr>
      <w:tr w:rsidR="007233A1" w:rsidRPr="00D52CDB" w:rsidTr="00FC31C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Средний риск</w:t>
            </w:r>
          </w:p>
        </w:tc>
      </w:tr>
      <w:tr w:rsidR="007233A1" w:rsidRPr="00D52CDB" w:rsidTr="00FC31C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w:t>
            </w:r>
            <w:r w:rsidRPr="00D52CDB">
              <w:rPr>
                <w:rFonts w:ascii="Arial" w:eastAsia="Times New Roman" w:hAnsi="Arial" w:cs="Arial"/>
                <w:sz w:val="24"/>
                <w:szCs w:val="24"/>
                <w:lang w:eastAsia="ru-RU"/>
              </w:rPr>
              <w:lastRenderedPageBreak/>
              <w:t>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lastRenderedPageBreak/>
              <w:t>Умеренный риск</w:t>
            </w:r>
          </w:p>
        </w:tc>
      </w:tr>
      <w:tr w:rsidR="007233A1" w:rsidRPr="00D52CDB" w:rsidTr="00FC31C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33A1" w:rsidRPr="00D52CDB" w:rsidRDefault="007233A1" w:rsidP="00FC31CD">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Низкий риск</w:t>
            </w:r>
          </w:p>
        </w:tc>
      </w:tr>
    </w:tbl>
    <w:p w:rsidR="007233A1" w:rsidRDefault="007233A1" w:rsidP="007233A1">
      <w:pPr>
        <w:spacing w:after="0" w:line="240" w:lineRule="auto"/>
        <w:ind w:firstLine="709"/>
        <w:rPr>
          <w:rFonts w:ascii="Times New Roman" w:hAnsi="Times New Roman" w:cs="Times New Roman"/>
          <w:sz w:val="28"/>
          <w:szCs w:val="28"/>
        </w:rPr>
      </w:pPr>
    </w:p>
    <w:p w:rsidR="009A449E" w:rsidRPr="00D80334" w:rsidRDefault="009A449E" w:rsidP="009A449E">
      <w:pPr>
        <w:spacing w:after="0" w:line="240" w:lineRule="auto"/>
        <w:ind w:firstLine="709"/>
        <w:jc w:val="center"/>
        <w:rPr>
          <w:rFonts w:ascii="Arial" w:eastAsia="Times New Roman" w:hAnsi="Arial" w:cs="Arial"/>
          <w:sz w:val="16"/>
          <w:szCs w:val="16"/>
          <w:lang w:eastAsia="ru-RU"/>
        </w:rPr>
      </w:pPr>
      <w:r w:rsidRPr="00D80334">
        <w:rPr>
          <w:rFonts w:ascii="Arial" w:eastAsia="Times New Roman" w:hAnsi="Arial" w:cs="Arial"/>
          <w:sz w:val="24"/>
          <w:szCs w:val="24"/>
          <w:lang w:eastAsia="ru-RU"/>
        </w:rPr>
        <w:t>Критерии</w:t>
      </w:r>
    </w:p>
    <w:p w:rsidR="009A449E" w:rsidRPr="00D80334" w:rsidRDefault="009A449E" w:rsidP="009A449E">
      <w:pPr>
        <w:spacing w:after="0" w:line="240" w:lineRule="auto"/>
        <w:ind w:firstLine="709"/>
        <w:jc w:val="center"/>
        <w:rPr>
          <w:rFonts w:ascii="Arial" w:eastAsia="Times New Roman" w:hAnsi="Arial" w:cs="Arial"/>
          <w:sz w:val="16"/>
          <w:szCs w:val="16"/>
          <w:lang w:eastAsia="ru-RU"/>
        </w:rPr>
      </w:pPr>
      <w:proofErr w:type="gramStart"/>
      <w:r w:rsidRPr="00D80334">
        <w:rPr>
          <w:rFonts w:ascii="Arial" w:eastAsia="Times New Roman" w:hAnsi="Arial" w:cs="Arial"/>
          <w:sz w:val="24"/>
          <w:szCs w:val="24"/>
          <w:lang w:eastAsia="ru-RU"/>
        </w:rPr>
        <w:t>отнесения</w:t>
      </w:r>
      <w:proofErr w:type="gramEnd"/>
      <w:r w:rsidRPr="00D80334">
        <w:rPr>
          <w:rFonts w:ascii="Arial" w:eastAsia="Times New Roman" w:hAnsi="Arial" w:cs="Arial"/>
          <w:sz w:val="24"/>
          <w:szCs w:val="24"/>
          <w:lang w:eastAsia="ru-RU"/>
        </w:rPr>
        <w:t xml:space="preserve"> объектов контроля к категориям риска</w:t>
      </w:r>
    </w:p>
    <w:p w:rsidR="009A449E" w:rsidRPr="00D80334" w:rsidRDefault="009A449E" w:rsidP="009A449E">
      <w:pPr>
        <w:spacing w:after="0" w:line="240" w:lineRule="auto"/>
        <w:ind w:firstLine="709"/>
        <w:jc w:val="center"/>
        <w:rPr>
          <w:rFonts w:ascii="Arial" w:eastAsia="Times New Roman" w:hAnsi="Arial" w:cs="Arial"/>
          <w:sz w:val="16"/>
          <w:szCs w:val="16"/>
          <w:lang w:eastAsia="ru-RU"/>
        </w:rPr>
      </w:pPr>
      <w:proofErr w:type="gramStart"/>
      <w:r w:rsidRPr="00D80334">
        <w:rPr>
          <w:rFonts w:ascii="Arial" w:eastAsia="Times New Roman" w:hAnsi="Arial" w:cs="Arial"/>
          <w:sz w:val="24"/>
          <w:szCs w:val="24"/>
          <w:lang w:eastAsia="ru-RU"/>
        </w:rPr>
        <w:t>причинения</w:t>
      </w:r>
      <w:proofErr w:type="gramEnd"/>
      <w:r w:rsidRPr="00D80334">
        <w:rPr>
          <w:rFonts w:ascii="Arial" w:eastAsia="Times New Roman" w:hAnsi="Arial" w:cs="Arial"/>
          <w:sz w:val="24"/>
          <w:szCs w:val="24"/>
          <w:lang w:eastAsia="ru-RU"/>
        </w:rPr>
        <w:t xml:space="preserve"> вреда (ущерба) в рамках осуществления муниципального жилищного контроля</w:t>
      </w:r>
    </w:p>
    <w:p w:rsidR="009A449E" w:rsidRPr="00D80334" w:rsidRDefault="009A449E" w:rsidP="009A449E">
      <w:pPr>
        <w:spacing w:after="0" w:line="240" w:lineRule="auto"/>
        <w:ind w:firstLine="709"/>
        <w:jc w:val="center"/>
        <w:rPr>
          <w:rFonts w:ascii="Arial" w:eastAsia="Times New Roman" w:hAnsi="Arial" w:cs="Arial"/>
          <w:sz w:val="16"/>
          <w:szCs w:val="16"/>
          <w:lang w:eastAsia="ru-RU"/>
        </w:rPr>
      </w:pPr>
      <w:r w:rsidRPr="00D80334">
        <w:rPr>
          <w:rFonts w:ascii="Arial" w:eastAsia="Times New Roman" w:hAnsi="Arial" w:cs="Arial"/>
          <w:b/>
          <w:bCs/>
          <w:sz w:val="24"/>
          <w:szCs w:val="24"/>
          <w:lang w:eastAsia="ru-RU"/>
        </w:rPr>
        <w:t> </w:t>
      </w:r>
    </w:p>
    <w:p w:rsidR="009A449E" w:rsidRPr="00D80334" w:rsidRDefault="009A449E" w:rsidP="009A449E">
      <w:pPr>
        <w:numPr>
          <w:ilvl w:val="0"/>
          <w:numId w:val="2"/>
        </w:numPr>
        <w:spacing w:after="0" w:line="240" w:lineRule="auto"/>
        <w:ind w:left="0" w:firstLine="709"/>
        <w:jc w:val="both"/>
        <w:rPr>
          <w:rFonts w:ascii="Arial" w:eastAsia="Times New Roman" w:hAnsi="Arial" w:cs="Arial"/>
          <w:sz w:val="24"/>
          <w:szCs w:val="24"/>
          <w:lang w:eastAsia="ru-RU"/>
        </w:rPr>
      </w:pPr>
      <w:r w:rsidRPr="00D80334">
        <w:rPr>
          <w:rFonts w:ascii="Times New Roman" w:eastAsia="Times New Roman" w:hAnsi="Times New Roman" w:cs="Times New Roman"/>
          <w:sz w:val="14"/>
          <w:szCs w:val="14"/>
          <w:lang w:eastAsia="ru-RU"/>
        </w:rPr>
        <w:t>              </w:t>
      </w:r>
      <w:r w:rsidRPr="00D80334">
        <w:rPr>
          <w:rFonts w:ascii="Arial" w:eastAsia="Times New Roman" w:hAnsi="Arial" w:cs="Arial"/>
          <w:sz w:val="24"/>
          <w:szCs w:val="24"/>
          <w:lang w:eastAsia="ru-RU"/>
        </w:rPr>
        <w:t>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предусмотренных действующим законодательством, и вероятности несоблюдения юридическими лицами, индивидуальными предпринимателями обязательных требований в зависимости от значения показателя риска К.</w:t>
      </w:r>
    </w:p>
    <w:p w:rsidR="009A449E" w:rsidRPr="00D80334" w:rsidRDefault="009A449E" w:rsidP="009A449E">
      <w:pPr>
        <w:numPr>
          <w:ilvl w:val="0"/>
          <w:numId w:val="2"/>
        </w:numPr>
        <w:spacing w:after="0" w:line="240" w:lineRule="auto"/>
        <w:ind w:left="900" w:hanging="191"/>
        <w:jc w:val="both"/>
        <w:rPr>
          <w:rFonts w:ascii="Arial" w:eastAsia="Times New Roman" w:hAnsi="Arial" w:cs="Arial"/>
          <w:sz w:val="24"/>
          <w:szCs w:val="24"/>
          <w:lang w:eastAsia="ru-RU"/>
        </w:rPr>
      </w:pPr>
      <w:r w:rsidRPr="00D80334">
        <w:rPr>
          <w:rFonts w:ascii="Times New Roman" w:eastAsia="Times New Roman" w:hAnsi="Times New Roman" w:cs="Times New Roman"/>
          <w:sz w:val="14"/>
          <w:szCs w:val="14"/>
          <w:lang w:eastAsia="ru-RU"/>
        </w:rPr>
        <w:t>       </w:t>
      </w:r>
      <w:r w:rsidRPr="00D80334">
        <w:rPr>
          <w:rFonts w:ascii="Arial" w:eastAsia="Times New Roman" w:hAnsi="Arial" w:cs="Arial"/>
          <w:sz w:val="24"/>
          <w:szCs w:val="24"/>
          <w:lang w:eastAsia="ru-RU"/>
        </w:rPr>
        <w:t>Показатель риска К определяется по формуле:</w:t>
      </w:r>
      <w:r w:rsidRPr="00D80334">
        <w:rPr>
          <w:rFonts w:ascii="Arial" w:eastAsia="Times New Roman" w:hAnsi="Arial" w:cs="Arial"/>
          <w:noProof/>
          <w:sz w:val="24"/>
          <w:szCs w:val="24"/>
          <w:lang w:eastAsia="ru-RU"/>
        </w:rPr>
        <mc:AlternateContent>
          <mc:Choice Requires="wps">
            <w:drawing>
              <wp:inline distT="0" distB="0" distL="0" distR="0" wp14:anchorId="13D5B5A9" wp14:editId="08A6D80F">
                <wp:extent cx="575310" cy="256540"/>
                <wp:effectExtent l="0" t="0" r="0" b="0"/>
                <wp:docPr id="1" name="AutoShape 1" descr="data:image/png;base64,iVBORw0KGgoAAAANSUhEUgAAADwAAAAbCAYAAAAgVez8AAAAAXNSR0IArs4c6QAAAARnQU1BAACxjwv8YQUAAAAJcEhZcwAADsMAAA7DAcdvqGQAAAAdSURBVFhH7cExAQAAAMKg9U9tB28gAAAAAAAAPjUZawABERnSc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47C4D" id="AutoShape 1" o:spid="_x0000_s1026" alt="data:image/png;base64,iVBORw0KGgoAAAANSUhEUgAAADwAAAAbCAYAAAAgVez8AAAAAXNSR0IArs4c6QAAAARnQU1BAACxjwv8YQUAAAAJcEhZcwAADsMAAA7DAcdvqGQAAAAdSURBVFhH7cExAQAAAMKg9U9tB28gAAAAAAAAPjUZawABERnScAAAAABJRU5ErkJggg==" style="width:45.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" filled="f" stroked="f">
                <o:lock v:ext="edit" aspectratio="t"/>
                <w10:anchorlock/>
              </v:rect>
            </w:pict>
          </mc:Fallback>
        </mc:AlternateConten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где</w:t>
      </w:r>
      <w:proofErr w:type="gramEnd"/>
      <w:r w:rsidRPr="00D80334">
        <w:rPr>
          <w:rFonts w:ascii="Arial" w:eastAsia="Times New Roman" w:hAnsi="Arial" w:cs="Arial"/>
          <w:sz w:val="24"/>
          <w:szCs w:val="24"/>
          <w:lang w:eastAsia="ru-RU"/>
        </w:rPr>
        <w:t>:</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proofErr w:type="spellStart"/>
      <w:r w:rsidRPr="00D80334">
        <w:rPr>
          <w:rFonts w:ascii="Arial" w:eastAsia="Times New Roman" w:hAnsi="Arial" w:cs="Arial"/>
          <w:sz w:val="24"/>
          <w:szCs w:val="24"/>
          <w:lang w:eastAsia="ru-RU"/>
        </w:rPr>
        <w:t>V</w:t>
      </w:r>
      <w:r w:rsidRPr="00D80334">
        <w:rPr>
          <w:rFonts w:ascii="Arial" w:eastAsia="Times New Roman" w:hAnsi="Arial" w:cs="Arial"/>
          <w:sz w:val="16"/>
          <w:szCs w:val="16"/>
          <w:vertAlign w:val="subscript"/>
          <w:lang w:eastAsia="ru-RU"/>
        </w:rPr>
        <w:t>п</w:t>
      </w:r>
      <w:proofErr w:type="spellEnd"/>
      <w:r w:rsidRPr="00D80334">
        <w:rPr>
          <w:rFonts w:ascii="Arial" w:eastAsia="Times New Roman" w:hAnsi="Arial" w:cs="Arial"/>
          <w:sz w:val="24"/>
          <w:szCs w:val="24"/>
          <w:lang w:eastAsia="ru-RU"/>
        </w:rPr>
        <w:t>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постановлений о назначении административного наказания юридическ</w:t>
      </w:r>
      <w:bookmarkStart w:id="1" w:name="_GoBack"/>
      <w:bookmarkEnd w:id="1"/>
      <w:r w:rsidRPr="00D80334">
        <w:rPr>
          <w:rFonts w:ascii="Arial" w:eastAsia="Times New Roman" w:hAnsi="Arial" w:cs="Arial"/>
          <w:sz w:val="24"/>
          <w:szCs w:val="24"/>
          <w:lang w:eastAsia="ru-RU"/>
        </w:rPr>
        <w:t>ому лицу (его должностным лицам), индивидуальному предпринимателю за совершение административных правонарушений, предусмотренных статьей 19.4.1. Кодекса Российской Федерации об административных правонарушениях, вынесенных по составленным администрацией Птичнинского сельского поселения  протоколам об административных правонарушениях (ед.);</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proofErr w:type="spellStart"/>
      <w:r w:rsidRPr="00D80334">
        <w:rPr>
          <w:rFonts w:ascii="Arial" w:eastAsia="Times New Roman" w:hAnsi="Arial" w:cs="Arial"/>
          <w:sz w:val="24"/>
          <w:szCs w:val="24"/>
          <w:lang w:eastAsia="ru-RU"/>
        </w:rPr>
        <w:t>V</w:t>
      </w:r>
      <w:r w:rsidRPr="00D80334">
        <w:rPr>
          <w:rFonts w:ascii="Arial" w:eastAsia="Times New Roman" w:hAnsi="Arial" w:cs="Arial"/>
          <w:sz w:val="16"/>
          <w:szCs w:val="16"/>
          <w:vertAlign w:val="subscript"/>
          <w:lang w:eastAsia="ru-RU"/>
        </w:rPr>
        <w:t>н</w:t>
      </w:r>
      <w:proofErr w:type="spellEnd"/>
      <w:r w:rsidRPr="00D80334">
        <w:rPr>
          <w:rFonts w:ascii="Arial" w:eastAsia="Times New Roman" w:hAnsi="Arial" w:cs="Arial"/>
          <w:sz w:val="24"/>
          <w:szCs w:val="24"/>
          <w:lang w:eastAsia="ru-RU"/>
        </w:rPr>
        <w:t>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по составленным органом администрацией Птичнинского сельского поселения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proofErr w:type="spellStart"/>
      <w:r w:rsidRPr="00D80334">
        <w:rPr>
          <w:rFonts w:ascii="Arial" w:eastAsia="Times New Roman" w:hAnsi="Arial" w:cs="Arial"/>
          <w:sz w:val="24"/>
          <w:szCs w:val="24"/>
          <w:lang w:eastAsia="ru-RU"/>
        </w:rPr>
        <w:t>V</w:t>
      </w:r>
      <w:r w:rsidRPr="00D80334">
        <w:rPr>
          <w:rFonts w:ascii="Arial" w:eastAsia="Times New Roman" w:hAnsi="Arial" w:cs="Arial"/>
          <w:sz w:val="16"/>
          <w:szCs w:val="16"/>
          <w:vertAlign w:val="subscript"/>
          <w:lang w:eastAsia="ru-RU"/>
        </w:rPr>
        <w:t>пр</w:t>
      </w:r>
      <w:proofErr w:type="spellEnd"/>
      <w:r w:rsidRPr="00D80334">
        <w:rPr>
          <w:rFonts w:ascii="Arial" w:eastAsia="Times New Roman" w:hAnsi="Arial" w:cs="Arial"/>
          <w:sz w:val="24"/>
          <w:szCs w:val="24"/>
          <w:lang w:eastAsia="ru-RU"/>
        </w:rPr>
        <w:t xml:space="preserve">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w:t>
      </w:r>
      <w:r w:rsidRPr="00D80334">
        <w:rPr>
          <w:rFonts w:ascii="Arial" w:eastAsia="Times New Roman" w:hAnsi="Arial" w:cs="Arial"/>
          <w:sz w:val="24"/>
          <w:szCs w:val="24"/>
          <w:lang w:eastAsia="ru-RU"/>
        </w:rPr>
        <w:lastRenderedPageBreak/>
        <w:t>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по составленным администрацией Птичнинского сельского поселения протоколам об административных правонарушениях (ед.);</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S - общая площадь многоквартирных домов, находящихся в управлении юридического лица, находящихся в обслуживании у индивидуального предпринимателя на дату принятия решения об отнесении осуществляемой им деятельности к категории риска (тыс. кв. м);</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за 2 календарных года, предшествующих году, в котором принимается решение (ед.).</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 Отнесение объектов контроля к категории риска в зависимости от значения показателя риска К производится согласно следующим условиям:</w:t>
      </w:r>
    </w:p>
    <w:p w:rsidR="009A449E" w:rsidRPr="00D80334" w:rsidRDefault="009A449E" w:rsidP="009A449E">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tbl>
      <w:tblPr>
        <w:tblW w:w="9071" w:type="dxa"/>
        <w:tblCellMar>
          <w:left w:w="0" w:type="dxa"/>
          <w:right w:w="0" w:type="dxa"/>
        </w:tblCellMar>
        <w:tblLook w:val="04A0" w:firstRow="1" w:lastRow="0" w:firstColumn="1" w:lastColumn="0" w:noHBand="0" w:noVBand="1"/>
      </w:tblPr>
      <w:tblGrid>
        <w:gridCol w:w="3628"/>
        <w:gridCol w:w="5443"/>
      </w:tblGrid>
      <w:tr w:rsidR="009A449E" w:rsidRPr="00D80334" w:rsidTr="00FC31CD">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Категория риска</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Показатель риска К, ед.</w:t>
            </w:r>
          </w:p>
        </w:tc>
      </w:tr>
      <w:tr w:rsidR="009A449E" w:rsidRPr="00D80334" w:rsidTr="00FC31CD">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Высокий риск</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более</w:t>
            </w:r>
            <w:proofErr w:type="gramEnd"/>
            <w:r w:rsidRPr="00D80334">
              <w:rPr>
                <w:rFonts w:ascii="Arial" w:eastAsia="Times New Roman" w:hAnsi="Arial" w:cs="Arial"/>
                <w:sz w:val="24"/>
                <w:szCs w:val="24"/>
                <w:lang w:eastAsia="ru-RU"/>
              </w:rPr>
              <w:t>5</w:t>
            </w:r>
          </w:p>
        </w:tc>
      </w:tr>
      <w:tr w:rsidR="009A449E" w:rsidRPr="00D80334" w:rsidTr="00FC31CD">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Средний риск</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от</w:t>
            </w:r>
            <w:proofErr w:type="gramEnd"/>
            <w:r w:rsidRPr="00D80334">
              <w:rPr>
                <w:rFonts w:ascii="Arial" w:eastAsia="Times New Roman" w:hAnsi="Arial" w:cs="Arial"/>
                <w:sz w:val="24"/>
                <w:szCs w:val="24"/>
                <w:lang w:eastAsia="ru-RU"/>
              </w:rPr>
              <w:t>1 до 5 включительно</w:t>
            </w:r>
          </w:p>
        </w:tc>
      </w:tr>
      <w:tr w:rsidR="009A449E" w:rsidRPr="00D80334" w:rsidTr="00FC31CD">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Низкий риск</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449E" w:rsidRPr="00D80334" w:rsidRDefault="009A449E" w:rsidP="00FC31CD">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до</w:t>
            </w:r>
            <w:proofErr w:type="gramEnd"/>
            <w:r w:rsidRPr="00D80334">
              <w:rPr>
                <w:rFonts w:ascii="Arial" w:eastAsia="Times New Roman" w:hAnsi="Arial" w:cs="Arial"/>
                <w:sz w:val="24"/>
                <w:szCs w:val="24"/>
                <w:lang w:eastAsia="ru-RU"/>
              </w:rPr>
              <w:t xml:space="preserve"> 1 включительно</w:t>
            </w:r>
          </w:p>
        </w:tc>
      </w:tr>
    </w:tbl>
    <w:p w:rsidR="009A449E" w:rsidRPr="00D80334" w:rsidRDefault="009A449E" w:rsidP="009A449E">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9A449E" w:rsidRPr="00D80334" w:rsidRDefault="009A449E" w:rsidP="009A449E">
      <w:pPr>
        <w:spacing w:after="0" w:line="240" w:lineRule="auto"/>
        <w:ind w:firstLine="567"/>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9A449E" w:rsidRPr="00D80334" w:rsidRDefault="009A449E" w:rsidP="009A449E">
      <w:pPr>
        <w:spacing w:after="0" w:line="240" w:lineRule="auto"/>
        <w:ind w:firstLine="567"/>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9A449E" w:rsidRPr="007233A1" w:rsidRDefault="009A449E" w:rsidP="007233A1">
      <w:pPr>
        <w:spacing w:after="0" w:line="240" w:lineRule="auto"/>
        <w:ind w:firstLine="709"/>
        <w:rPr>
          <w:rFonts w:ascii="Times New Roman" w:hAnsi="Times New Roman" w:cs="Times New Roman"/>
          <w:sz w:val="28"/>
          <w:szCs w:val="28"/>
        </w:rPr>
      </w:pPr>
    </w:p>
    <w:sectPr w:rsidR="009A449E" w:rsidRPr="0072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713B2"/>
    <w:multiLevelType w:val="multilevel"/>
    <w:tmpl w:val="6D9E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0937A5"/>
    <w:multiLevelType w:val="multilevel"/>
    <w:tmpl w:val="04E2C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75"/>
    <w:rsid w:val="00026275"/>
    <w:rsid w:val="00355EF8"/>
    <w:rsid w:val="007233A1"/>
    <w:rsid w:val="009A449E"/>
    <w:rsid w:val="00B0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AD0C7-7AC0-4B99-8EE0-5A815615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2022-11-15T00:08:00Z</dcterms:created>
  <dcterms:modified xsi:type="dcterms:W3CDTF">2022-11-15T00:22:00Z</dcterms:modified>
</cp:coreProperties>
</file>